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  <w:t>面试考生须知</w:t>
      </w:r>
    </w:p>
    <w:bookmarkEnd w:id="1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面试考点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当天7∶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0开放，考生凭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面试通知单、笔试准考证、有效居民身份证原件（临时身份证）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、考前24小时内的“甘肃省健康通行码”（绿码）、通信大数据绿色行程卡（一码一卡均A4纸彩色打印，且须本人签字）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到达考点并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接受防疫检查，通过安检及体温检测（&lt;37.3℃）方可进入考点，证件不全者不得进入。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2.考生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应按规定时间到达考点并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抽签确定或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规定分组进入相应的候考室候考，按抽签顺序依次参加面试。考生未能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按时参加面试的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视为自愿放弃面试资格。因个人原因不能参加面试或中途退场的，按缺考处理。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3.</w:t>
      </w:r>
      <w:bookmarkStart w:id="0" w:name="_Toc15578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考生在候考期间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佩戴面试顺序号胸牌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听从工作人员安排，不得擅自行动、不得与无关人员接触、不得在考试相关证件上书写任何内容，禁止吸烟和高声喧哗，违者按违纪处理，取消面试资格。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4.考生手机须按照工作人员要求进行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保管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，一律不准带进候考室，离开考点前不得擅自拆封。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.考生按照面试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规定的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教材提前准备教案，手写教案复印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考生进入候考室后将教案复印件交由工作人员审核，进入面试室后将教案复印件交由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监督员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审查，审查完后分送主考官和考官。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可自备教具、乐器，考场不提供多媒体教学设备。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考生在书写教案和面试过程中不得表述自己的姓名、家庭背景、报考岗位、准考证号等个人信息，如发生考生透露个人信息的，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一经发现，按违纪处理。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.考生自备的教案、教具、伴奏音乐、器材、乐器等相关专业用具，经候考室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审核后方可带入面试室。考生携带的专业用具，不得表述自己的姓名、毕业院校、家庭背景、报考岗位等个人信息，经审核认为考生故意透露个人信息的，不得参加面试，按面试作弊处理。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.考生面试结束后按考点安排离开考点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不得返回考场或候考室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违者按违纪处理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取消面试成绩。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8.尊重考官和考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工作人员，自觉接受工作人员的监督和检查，不得无理取闹，不得辱骂威胁、报复工作人员及考官，违者按违纪处理，取消面试成绩。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9.考前熟悉考场地址，全程规划交通路线，准时参考。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.面试人员参加面试期间的食宿、交通费用自理，请自行安排好行程，并注意出行安全。</w:t>
      </w:r>
    </w:p>
    <w:p>
      <w:pPr>
        <w:pStyle w:val="8"/>
        <w:rPr>
          <w:rFonts w:hint="default" w:ascii="仿宋_GB2312" w:hAnsi="仿宋_GB2312" w:eastAsia="仿宋_GB2312" w:cs="仿宋_GB2312"/>
          <w:color w:val="auto"/>
          <w:kern w:val="11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09E5"/>
    <w:rsid w:val="61C80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Arial Unicode MS"/>
      <w:kern w:val="0"/>
      <w:sz w:val="24"/>
    </w:rPr>
  </w:style>
  <w:style w:type="paragraph" w:customStyle="1" w:styleId="8">
    <w:name w:val="Body Text Indent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2022-02-28T09:21:00Z</dcterms:created>
  <dc:creator>dxxjyj</dc:creator>
  <cp:lastModifiedBy>dxxjyj</cp:lastModifiedBy>
  <dcterms:modified xsi:type="dcterms:W3CDTF">2022-02-28T09:22:35Z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