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3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080000" w:fill="FFFFFF"/>
          <w:lang w:val="en-US" w:eastAsia="zh-CN" w:bidi="ar-SA"/>
        </w:rPr>
        <w:t>报送周期与时限要求</w:t>
      </w:r>
    </w:p>
    <w:p>
      <w:pPr>
        <w:tabs>
          <w:tab w:val="left" w:pos="843"/>
        </w:tabs>
        <w:jc w:val="left"/>
        <w:rPr>
          <w:rFonts w:hint="eastAsia"/>
          <w:color w:val="000000"/>
          <w:lang w:val="en-US" w:eastAsia="zh-CN"/>
        </w:rPr>
      </w:pPr>
    </w:p>
    <w:tbl>
      <w:tblPr>
        <w:tblStyle w:val="8"/>
        <w:tblW w:w="94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04"/>
        <w:gridCol w:w="1496"/>
        <w:gridCol w:w="1950"/>
        <w:gridCol w:w="177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6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表号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表名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报告期别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报送单位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报送方式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报送时限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60" w:type="dxa"/>
            <w:vMerge w:val="restart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国管节能基1表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公共机构</w:t>
            </w:r>
          </w:p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基本信息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半年报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各乡镇人民政府、县直各单位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网络直报与纸质报送并行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7月10日前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60" w:type="dxa"/>
            <w:vMerge w:val="continue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年报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各乡镇人民政府、县直各单位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网络直报与纸质报送并行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次年元月</w:t>
            </w:r>
          </w:p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60" w:type="dxa"/>
            <w:vMerge w:val="restart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国管节能基2表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公共机构能源资源消费状况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半年报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各乡镇人民政府、县直各单位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网络直报与纸质报送并行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7月10日前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60" w:type="dxa"/>
            <w:vMerge w:val="continue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年报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各乡镇人民政府、县直各单位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网络直报与纸质报送并行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次年元月</w:t>
            </w:r>
          </w:p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60" w:type="dxa"/>
            <w:vMerge w:val="restart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国管节能基3表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公共机构数据中心机房能源消费</w:t>
            </w:r>
          </w:p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半年报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各乡镇人民政府、县直各单位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网络直报与纸质报送并行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7月10日前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60" w:type="dxa"/>
            <w:vMerge w:val="continue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年报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各乡镇人民政府、县直各单位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网络直报与纸质报送并行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次年元月</w:t>
            </w:r>
          </w:p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60" w:type="dxa"/>
            <w:vMerge w:val="restart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国管节能基4表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公共机构采暖能源资源消费状况</w:t>
            </w:r>
          </w:p>
        </w:tc>
        <w:tc>
          <w:tcPr>
            <w:tcW w:w="1496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半年报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各乡镇人民政府、县直各单位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网络直报与纸质报送并行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7月10日前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60" w:type="dxa"/>
            <w:vMerge w:val="continue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年报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各乡镇人民政府、县直各单位</w:t>
            </w:r>
          </w:p>
        </w:tc>
        <w:tc>
          <w:tcPr>
            <w:tcW w:w="1770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网络直报与纸质报送并行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次年元月</w:t>
            </w:r>
          </w:p>
          <w:p>
            <w:pPr>
              <w:widowControl w:val="0"/>
              <w:tabs>
                <w:tab w:val="left" w:pos="843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5日前</w:t>
            </w:r>
          </w:p>
        </w:tc>
      </w:tr>
    </w:tbl>
    <w:p>
      <w:pPr>
        <w:widowControl w:val="0"/>
        <w:tabs>
          <w:tab w:val="left" w:pos="843"/>
        </w:tabs>
        <w:wordWrap/>
        <w:adjustRightInd/>
        <w:snapToGrid/>
        <w:spacing w:before="0" w:after="0" w:line="20" w:lineRule="exact"/>
        <w:ind w:left="0" w:leftChars="0" w:right="0" w:firstLine="0" w:firstLineChars="0"/>
        <w:jc w:val="left"/>
        <w:textAlignment w:val="auto"/>
        <w:outlineLvl w:val="9"/>
        <w:rPr>
          <w:rFonts w:hint="eastAsia"/>
          <w:color w:val="00000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567" w:footer="1134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Or2grUBAABT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8uszhCxoaSHSGlpfBPGnDn5kZyZ9KjB5S/RYRQn&#10;nU9XbdWYmMyP1qv1uqaQpNh8IZzq6XkETG9VcCwbLQcaXtFUHN9juqTOKbmaD/fGWvKLxno2tPzV&#10;zeqmPLhGCNx6qpFJXJrNVhp348RgF7oTERtoAVruaUM5s+886Zt3ZTZgNnazcYhg9n1Zplwe4+tD&#10;om5Kk7nCBXYqTJMrNKcty6vx+71kPf0L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MOr2&#10;grUBAABT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13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2017-12-01T05:21:00Z</cp:lastPrinted>
  <dcterms:modified xsi:type="dcterms:W3CDTF">2017-12-01T08:36:19Z</dcterms:modified>
  <dc:title>　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